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Lineamientos para la Elaboración de Reglamentos de Seguridad e Higiene</w:t>
        <w:br w:type="textWrapping"/>
        <w:t xml:space="preserve">para los Laboratorios de Enseñanza Experimental Nivel Bachillerato</w:t>
      </w:r>
    </w:p>
    <w:p w:rsidR="00000000" w:rsidDel="00000000" w:rsidP="00000000" w:rsidRDefault="00000000" w:rsidRPr="00000000" w14:paraId="00000004">
      <w:pPr>
        <w:spacing w:after="120" w:before="120" w:lineRule="auto"/>
        <w:rPr>
          <w:rFonts w:ascii="Trebuchet MS" w:cs="Trebuchet MS" w:eastAsia="Trebuchet MS" w:hAnsi="Trebuchet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Introducción: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En las Instituciones incorporadas a los planes y programas de la UNAM, es indispensable llevar a cabo el trabajo práctico en los laboratorios experimentales, por lo que es necesario asegurar que toda persona que ingrese o permanezca en esta área cuente con las condiciones de seguridad e información necesaria para evitar accidentes y con ello salvaguardar su integridad en todo momento.</w:t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Características Generales:</w:t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Esta propuesta se encuentra dividida en apartados y contiene ejemplos de lo que se puede incluir en un reglamento, considerando su utilidad y pertinencia.</w:t>
      </w:r>
    </w:p>
    <w:p w:rsidR="00000000" w:rsidDel="00000000" w:rsidP="00000000" w:rsidRDefault="00000000" w:rsidRPr="00000000" w14:paraId="0000000A">
      <w:pPr>
        <w:spacing w:after="120" w:before="120" w:line="276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El reglamento debe estar conformando en un desplegado, de preferencia de una sola página a la vista de los usuarios, tamaño cartel (60 cm x 90 cm) con las Normas más importantes y pertinentes que considere la Institución y escrito con letra legible (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previamente autorizado por la DGIRE)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. Debe colocarse en lugar visible en el(los) laboratorio(s) de ciencias correspondientes. En caso de contar con laboratorios específicos para Química, Bilogía o Física, estos deberán contener normas adicionales que sean específicas de cada asignatura.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La ISI, junto con los profesores y la persona responsable del laboratorio, deben elegir las reglas que operan, las cuales serán de 2 a 3 por cada apartado.</w:t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Los elementos a considerar para su elaboración son:</w:t>
      </w:r>
    </w:p>
    <w:p w:rsidR="00000000" w:rsidDel="00000000" w:rsidP="00000000" w:rsidRDefault="00000000" w:rsidRPr="00000000" w14:paraId="0000000D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Nombre de la Institución y Clave: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Colegio San Juan (clave 2511).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Título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: Reglamento de Seguridad para el Laboratorio Multidisciplinario o en su caso por tipo de Laboratorio (Biología, Física, Química, etc.).</w:t>
      </w:r>
    </w:p>
    <w:p w:rsidR="00000000" w:rsidDel="00000000" w:rsidP="00000000" w:rsidRDefault="00000000" w:rsidRPr="00000000" w14:paraId="0000000F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Objetivo: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Indicar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qué se pretende con este reglamento, por ejemplo.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Reducir el riesgo de accidentes en el laboratorio.</w:t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Destinatario: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A quien va dirigido este reglamento.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Alumnos, Profesores, Laboratorista, personal de limpieza, etc.</w:t>
      </w:r>
    </w:p>
    <w:p w:rsidR="00000000" w:rsidDel="00000000" w:rsidP="00000000" w:rsidRDefault="00000000" w:rsidRPr="00000000" w14:paraId="00000013">
      <w:pPr>
        <w:spacing w:after="120" w:before="120" w:line="276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Autorización: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66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Cuenta con fecha y firma del Director Técnico</w:t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Apartados a considerar: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 de Acceso donde se indique la vestimenta y equipo de seguridad que deben tener los usuarios.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Bata blanca de algodón de manga larga.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Cabello recogido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Calzado cerrado.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Lentes de seguridad, guantes o cubre bocas dependiendo del tipo de práctica que se desarrolle, etc.</w:t>
      </w:r>
    </w:p>
    <w:p w:rsidR="00000000" w:rsidDel="00000000" w:rsidP="00000000" w:rsidRDefault="00000000" w:rsidRPr="00000000" w14:paraId="0000001D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del uso adecuado y la ubicación de los dispositivos de emergencia y seguridad.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Botiquín de primeros auxilios.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Extintores.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18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Estación de emergencia (Regadera y Lavaojos), etc. </w:t>
      </w:r>
    </w:p>
    <w:p w:rsidR="00000000" w:rsidDel="00000000" w:rsidP="00000000" w:rsidRDefault="00000000" w:rsidRPr="00000000" w14:paraId="00000023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Reglas de Seguridad que deben operar durante el desarrollo de las prácticas donde se mencione las pautas a seguir en el manejo de materiales, equipos, cristalería y sustancias.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Química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pipetear ningún líquido succionando con la boca (emplear propipetas).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Utilizar espátulas para el manejo de las sustancias.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manipular equipos eléctricos con las manos húmedas o mojadas, etc.</w:t>
      </w:r>
    </w:p>
    <w:p w:rsidR="00000000" w:rsidDel="00000000" w:rsidP="00000000" w:rsidRDefault="00000000" w:rsidRPr="00000000" w14:paraId="0000002A">
      <w:pPr>
        <w:spacing w:after="120" w:before="120" w:lineRule="auto"/>
        <w:jc w:val="both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709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En el caso de las sustancias: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776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Manipular sustancias químicas sólidas mediante espátulas, evitando contaminar el contenido. Nunca devolver al envase original los remanentes de las sustancias no utilizadas.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776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preparar disoluciones de ácidos en agua, añadir el ácido al agua, vertiéndolo poco a poco. “NO DAR DE BEBER AGUA A UN ÁCIDO”.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776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calentar sustancias en tubos de ensayo: mantenerlo inclinado y evitar dirigirlo a sus compañeros; evitar llenarlos a más de un tercio o a la mitad de su capacidad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                   Para Biología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1134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Cuando se trabaje con microorganismos: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776" w:right="0" w:hanging="360"/>
        <w:jc w:val="both"/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Asegurarse que los microorganismos utilizados no representen riesgo alguno para la salud y seguridad de los alumnos.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776" w:right="0" w:hanging="360"/>
        <w:jc w:val="both"/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Esterilizar antes y después, los medios de cultivo y materiales que se utilizan.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8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Educación para la Salud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Almacenar los residuos peligrosos biológico-infecciosos (RPBI), de conformidad con lo establecido en la Norma Oficial Mexicana.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Contar con contenedores para punzocortantes</w:t>
      </w:r>
    </w:p>
    <w:p w:rsidR="00000000" w:rsidDel="00000000" w:rsidP="00000000" w:rsidRDefault="00000000" w:rsidRPr="00000000" w14:paraId="00000037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Reglas de Conducta que deben operar durante el desarrollo de las prácticas.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jugar con el material en ningún momento.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Dejar el material de trabajo bien lavado y completo.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Dejar limpia la mesa de trabajo y áreas comunes (campana, tarjas, piso, balanzas, etc.).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finalizar la sesión, verificar que las válvulas de gas y agua queden perfectamente cerradas, etc.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Prohibiciones que se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tendrán en el laboratorio.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fumar, no correr, no empujar.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oler ni probar alguna sustancia.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beber, comer ni masticar chicle.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jugar con el material o sentarse sobre las mesas de trabajo.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trabajar en el laboratorio sin supervisión de un profesor, etc.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Normas particulares para Psicología.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Deberá respetarse la integridad emocional y física, así como la confidencialidad de todos los participantes, evitando situaciones ofensivas y discriminatorias.</w:t>
      </w:r>
    </w:p>
    <w:p w:rsidR="00000000" w:rsidDel="00000000" w:rsidP="00000000" w:rsidRDefault="00000000" w:rsidRPr="00000000" w14:paraId="0000004B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Acciones a realizar en caso de accidentes o derrames.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heridas, quemaduras con llamas, salpicaduras de sustancias cáusticas o de malestar por gases aspirados, acudir inmediatamente con el profesor.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Tener a la vista las medidas preventivas y de seguridad para un manejo adecuado de los equipos, reactivos, material e instalaciones para prevenir accidentes.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incendio o chispas en equipo eléctrico, desconectarlo de la corriente eléctrica, etc.</w:t>
      </w:r>
    </w:p>
    <w:p w:rsidR="00000000" w:rsidDel="00000000" w:rsidP="00000000" w:rsidRDefault="00000000" w:rsidRPr="00000000" w14:paraId="00000051">
      <w:pPr>
        <w:spacing w:after="120" w:before="120"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62" w:right="0" w:hanging="72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Sanciones a las que se hacen acreedores los usuarios cuando no se acatan las reglas contenidas en el reglamento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ejemplo: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usuarios que sean sorprendidos realizando actividades ajenas a las dispuestas por el profesor, serán acreedores a sanciones que comprenderán desde una simple amonestación hasta la cancelación del servicio como usuario según sea la gravedad de la infracción.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usuario que se sorprenda extrayendo o dañando cualquier aparato, material, reactivo o parte de las instalaciones del laboratorio, deberá restituirlo o pagar el importe que resulte del daño a satisfacción de la Dirección del Plantel.</w:t>
      </w:r>
    </w:p>
    <w:p w:rsidR="00000000" w:rsidDel="00000000" w:rsidP="00000000" w:rsidRDefault="00000000" w:rsidRPr="00000000" w14:paraId="00000056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En caso de que la Institución tenga dos o más laboratorios donde solo se imparten asignaturas de Química, Biología, Educación para la Salud y Psicología favor de quitar las normas que se encuentran en el Inciso tres y que no corresponde a las actividades específicas que se van a realizar en este laboratorio especializado y colocar los incisos I, II, III, IV, V , VII y VIII además de las Normas particulares que la Institución considere importantes para salvaguardar la integridad de su personal académico, administrativo y estudiantes.</w:t>
      </w:r>
    </w:p>
    <w:p w:rsidR="00000000" w:rsidDel="00000000" w:rsidP="00000000" w:rsidRDefault="00000000" w:rsidRPr="00000000" w14:paraId="00000058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Las siguientes Normas son de apoyo en caso de que la Institución quiera construir su reglamento particular del laboratorio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especializado.</w:t>
      </w:r>
    </w:p>
    <w:p w:rsidR="00000000" w:rsidDel="00000000" w:rsidP="00000000" w:rsidRDefault="00000000" w:rsidRPr="00000000" w14:paraId="00000059">
      <w:pPr>
        <w:spacing w:after="120" w:before="120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26" w:right="0" w:hanging="426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Normas de Seguridad e Higiene  para el Laboratorio de Química.</w:t>
      </w:r>
    </w:p>
    <w:p w:rsidR="00000000" w:rsidDel="00000000" w:rsidP="00000000" w:rsidRDefault="00000000" w:rsidRPr="00000000" w14:paraId="0000005B">
      <w:pPr>
        <w:spacing w:after="120" w:before="120" w:lineRule="auto"/>
        <w:rPr>
          <w:rFonts w:ascii="Trebuchet MS" w:cs="Trebuchet MS" w:eastAsia="Trebuchet MS" w:hAnsi="Trebuchet MS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709" w:right="0" w:hanging="425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caso de las sustancias: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Manipular sustancias químicas sólidas mediante espátulas, evitando contaminar el contenido. Nunca devolver al envase original los remanentes de las sustancias no utilizadas.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preparar disoluciones de ácidos en agua, añadir el ácido al agua, vertiéndolo poco a poco. “NO DAR DE BEBER AGUA A UN ÁCIDO”.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calentar sustancias en tubos de ensayo: mantenerlo inclinado y evitar dirigirlo a sus compañeros; evitar llenarlos a más de un tercio o a la mitad de su capacidad.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Está prohibido pipetear directamente con la boca cualquier sustancia (utilizar propipetas).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derrame accidental de una sustancia sobre un equipo eléctrico, se debe desconectar inmediatamente antes de remover la sustancia.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Contar con las hojas de seguridad de todos los reactivos químicos elaboradas de acuerdo con la NOM-018 STPS 2015.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Manipular los reactivos químicos, materiales y equipo de laboratorio con la máxima precaución, considerando las indicaciones de las hojas de seguridad de las sustancias.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Manipular el material de vidrio con especial atención, para evitar lesiones por cristalería rota, en caso de que se rompan es necesario envolverlos y colocarlos en un contenedor específico.</w:t>
      </w:r>
    </w:p>
    <w:p w:rsidR="00000000" w:rsidDel="00000000" w:rsidP="00000000" w:rsidRDefault="00000000" w:rsidRPr="00000000" w14:paraId="00000065">
      <w:pPr>
        <w:tabs>
          <w:tab w:val="left" w:leader="none" w:pos="390"/>
        </w:tabs>
        <w:spacing w:after="120" w:before="120" w:lineRule="auto"/>
        <w:ind w:left="851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Responsabilidad y sanciones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851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Queda prohibido: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i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Pesar directamente en los platillos de las balanzas.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i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Pipetear directamente con la boca las sustancias (emplear propipetas).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i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Calentar productos inflamables u orgánicos directamente en la llama; se debe trabajar lejos de cualquier llama o chispa.</w:t>
      </w:r>
    </w:p>
    <w:p w:rsidR="00000000" w:rsidDel="00000000" w:rsidP="00000000" w:rsidRDefault="00000000" w:rsidRPr="00000000" w14:paraId="0000006A">
      <w:pPr>
        <w:tabs>
          <w:tab w:val="left" w:leader="none" w:pos="390"/>
        </w:tabs>
        <w:spacing w:after="120" w:before="120" w:lineRule="auto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26" w:right="0" w:hanging="426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Normas de Seguridad e Higiene para el Laboratorio Biología. </w:t>
      </w:r>
    </w:p>
    <w:p w:rsidR="00000000" w:rsidDel="00000000" w:rsidP="00000000" w:rsidRDefault="00000000" w:rsidRPr="00000000" w14:paraId="0000006C">
      <w:pPr>
        <w:tabs>
          <w:tab w:val="left" w:leader="none" w:pos="390"/>
        </w:tabs>
        <w:spacing w:after="120" w:before="120" w:lineRule="auto"/>
        <w:rPr>
          <w:rFonts w:ascii="Trebuchet MS" w:cs="Trebuchet MS" w:eastAsia="Trebuchet MS" w:hAnsi="Trebuchet MS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390"/>
        </w:tabs>
        <w:spacing w:after="120" w:before="12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Estas reglas deberán ser específicas para esta materia y en ellas se deberán encontrar las medidas utilizadas para trabajar con microorganismos y organismos vivos con sus respectivos desechos.</w:t>
      </w:r>
    </w:p>
    <w:p w:rsidR="00000000" w:rsidDel="00000000" w:rsidP="00000000" w:rsidRDefault="00000000" w:rsidRPr="00000000" w14:paraId="0000006E">
      <w:pPr>
        <w:tabs>
          <w:tab w:val="left" w:leader="none" w:pos="390"/>
        </w:tabs>
        <w:spacing w:after="120" w:before="120" w:lineRule="auto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709" w:right="0" w:hanging="42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se trabaje con microorganismos: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360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Asegurarse que los microorganismos utilizados no representen riesgo alguno para la salud y seguridad de los alumnos.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360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Esterilizar antes y después, los medios de cultivo y materiales que se utilizan.</w:t>
      </w:r>
    </w:p>
    <w:p w:rsidR="00000000" w:rsidDel="00000000" w:rsidP="00000000" w:rsidRDefault="00000000" w:rsidRPr="00000000" w14:paraId="00000072">
      <w:pPr>
        <w:tabs>
          <w:tab w:val="left" w:leader="none" w:pos="390"/>
        </w:tabs>
        <w:spacing w:after="120" w:before="120" w:lineRule="auto"/>
        <w:ind w:left="1134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390"/>
        </w:tabs>
        <w:spacing w:after="120" w:before="120" w:lineRule="auto"/>
        <w:ind w:left="1134" w:hanging="36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Nota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: En caso de utilizar equipo de disección es necesario que se encuentre esterilizado, que se cuente con el equipo de seguridad y la disposición de desechos de acuerdo con las normas.</w:t>
      </w:r>
    </w:p>
    <w:p w:rsidR="00000000" w:rsidDel="00000000" w:rsidP="00000000" w:rsidRDefault="00000000" w:rsidRPr="00000000" w14:paraId="00000074">
      <w:pPr>
        <w:tabs>
          <w:tab w:val="left" w:leader="none" w:pos="390"/>
        </w:tabs>
        <w:spacing w:after="120" w:before="12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709" w:right="0" w:hanging="425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caso de las sustancias: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Manipular sustancias químicas sólidas mediante espátulas, evitando contaminar el contenido. Nunca devolver al envase original los remanentes de las sustancias no utilizadas.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preparar disoluciones de ácidos en agua, añadir el ácido al agua, vertiéndolo poco a poco. “NO DAR DE BEBER AGUA A UN ÁCIDO”.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calentar sustancias en tubos de ensayo: mantenerlo inclinado y evitar dirigirlo a sus compañeros; evitar llenarlos a más de un tercio o a la mitad de su capacidad.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Está prohibido pipetear directamente con la boca cualquier sustancia.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derrame accidental de una sustancia sobre un equipo eléctrico, se debe desconectar inmediatamente antes de remover la sustancia.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Contar con las hojas de seguridad de todos los reactivos químicos elaboradas de acuerdo con la NOM-018 STPS 2015.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Manipular los reactivos químicos, materiales y equipo de laboratorio con la máxima precaución, considerando las indicaciones de las hojas de seguridad de las sustancias.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134" w:right="0" w:hanging="425"/>
        <w:jc w:val="both"/>
        <w:rPr>
          <w:rFonts w:ascii="Trebuchet MS" w:cs="Trebuchet MS" w:eastAsia="Trebuchet MS" w:hAnsi="Trebuchet MS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Manipular el material de vidrio con especial atención, para evitar lesiones por cristalería rota, en caso de que se rompan es necesario envolverlos y colocarlos en un contenedor específico.</w:t>
      </w:r>
    </w:p>
    <w:p w:rsidR="00000000" w:rsidDel="00000000" w:rsidP="00000000" w:rsidRDefault="00000000" w:rsidRPr="00000000" w14:paraId="0000007E">
      <w:pPr>
        <w:tabs>
          <w:tab w:val="left" w:leader="none" w:pos="390"/>
        </w:tabs>
        <w:spacing w:after="120" w:before="120" w:lineRule="auto"/>
        <w:ind w:left="851" w:firstLine="0"/>
        <w:jc w:val="both"/>
        <w:rPr>
          <w:rFonts w:ascii="Trebuchet MS" w:cs="Trebuchet MS" w:eastAsia="Trebuchet MS" w:hAnsi="Trebuchet MS"/>
          <w:b w:val="1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rtl w:val="0"/>
        </w:rPr>
        <w:t xml:space="preserve">Responsabilidad y sanciones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851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Queda prohibido: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425"/>
        <w:jc w:val="both"/>
        <w:rPr>
          <w:rFonts w:ascii="Trebuchet MS" w:cs="Trebuchet MS" w:eastAsia="Trebuchet MS" w:hAnsi="Trebuchet MS"/>
          <w:i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Pesar directamente en los platillos de las balanzas.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425"/>
        <w:jc w:val="both"/>
        <w:rPr>
          <w:rFonts w:ascii="Trebuchet MS" w:cs="Trebuchet MS" w:eastAsia="Trebuchet MS" w:hAnsi="Trebuchet MS"/>
          <w:i w:val="0"/>
          <w:sz w:val="22"/>
          <w:szCs w:val="22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Pipetear directamente con la boca las sustancias (emplear propipetas).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425"/>
        <w:jc w:val="both"/>
        <w:rPr>
          <w:rFonts w:ascii="Trebuchet MS" w:cs="Trebuchet MS" w:eastAsia="Trebuchet MS" w:hAnsi="Trebuchet MS"/>
          <w:i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Calentar productos inflamables u orgánicos directamente en la llama; se debe trabajar lejos de cualquier llama o chispa.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120" w:before="120" w:line="240" w:lineRule="auto"/>
        <w:ind w:left="709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26" w:right="0" w:hanging="426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realizar prácticas de Ciencias de la Salud</w:t>
      </w:r>
    </w:p>
    <w:p w:rsidR="00000000" w:rsidDel="00000000" w:rsidP="00000000" w:rsidRDefault="00000000" w:rsidRPr="00000000" w14:paraId="00000085">
      <w:pPr>
        <w:tabs>
          <w:tab w:val="left" w:leader="none" w:pos="390"/>
        </w:tabs>
        <w:spacing w:after="120" w:before="120" w:lineRule="auto"/>
        <w:jc w:val="both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120" w:before="120" w:lineRule="auto"/>
        <w:jc w:val="both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Se evitará, en medida de lo posible, el uso de agujas y jeringas; en caso de que sean necesarias, éstas se desecharán inmediatamente después de haber sido utilizadas y depositarlas en su respectivo contendor para punzocortantes.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Rule="auto"/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Rule="auto"/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90"/>
        </w:tabs>
        <w:spacing w:after="120" w:before="120" w:lineRule="auto"/>
        <w:rPr>
          <w:rFonts w:ascii="Trebuchet MS" w:cs="Trebuchet MS" w:eastAsia="Trebuchet MS" w:hAnsi="Trebuchet MS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2"/>
          <w:szCs w:val="22"/>
          <w:u w:val="single"/>
          <w:rtl w:val="0"/>
        </w:rPr>
        <w:t xml:space="preserve">Bibliografía: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NOM-007-SSA3-2011 para la organización y funcionamiento de los laboratorio clínicos.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https://dof.gob.mx/nota_detalle.php?codigo=5240925&amp;fecha=27/03/2012#gsc.tab=0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Reglamento de Higiene y Seguridad para los Laboratorios de la Facultad de Química de la UNAM. Recuperado el 26/10/2020 de: 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http://www.quimica.unam.mx/IMG/pdf/392.pdf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Reglamento del Sistema de Laboratorios del Colegio de Ciencias y Humanidades.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Recuperado el 10/05/2020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http://laboratorioscchsur.wix.com/departamento-de-laboratorios#!documentos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NACIONAL AUTÓNOMA DE MÉXICO REGLAMENTO PARA EL USO DE LOS LABORATORIOS DE CIENCIAS DE LA ESCUELA NACIONAL PREPARATORIA. Recuperado el 26/10/2020 de: </w:t>
      </w:r>
      <w:hyperlink r:id="rId10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http://dgenp.unam.mx/noticias/reglamento-labciencias11abr14.pdf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REGLAMENTO DE LABORATORIO DE QUÍMICA Y USOS MÚLTIPLES. INSTITUTO TECNOLÓGICO SUPERIOR DE XALAPA. Recuperado el 10/01/2020. el 08-08-16 de:  </w:t>
      </w: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http://www.itsx.edu.mx/transparencia/I/reglamentos-alumnos/D-AA-04-laboratorio-quimica-usos-multiples.pdf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Reglamento de los Laboratorios de Ciencias del Instituto de Educación Media Superior de la Cuidad de México. Recuperado el 26/10/2020 de: file:///C:/Users/fisico1/Documents/descargar-17ec24c6b4cdc144e2df6b36a4991bd2.pdf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footerReference r:id="rId14" w:type="even"/>
      <w:pgSz w:h="15842" w:w="12242" w:orient="portrait"/>
      <w:pgMar w:bottom="737" w:top="1134" w:left="1701" w:right="851" w:header="851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 Narrow"/>
  <w:font w:name="Georgia"/>
  <w:font w:name="Trebuchet MS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ind w:left="1985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SECRETARÍA GENERAL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-374649</wp:posOffset>
              </wp:positionH>
              <wp:positionV relativeFrom="paragraph">
                <wp:posOffset>-423544</wp:posOffset>
              </wp:positionV>
              <wp:extent cx="1278890" cy="11868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9D13E3" w:rsidDel="00000000" w:rsidP="009D13E3" w:rsidRDefault="00E81F37" w:rsidRPr="00000000" w14:paraId="4660ADE9" w14:textId="77777777">
                          <w:r w:rsidDel="00000000" w:rsidR="00000000" w:rsidRPr="00000000">
                            <w:rPr>
                              <w:noProof w:val="1"/>
                              <w:lang w:eastAsia="es-MX" w:val="es-MX"/>
                            </w:rPr>
                            <w:drawing>
                              <wp:inline distB="0" distT="0" distL="0" distR="0">
                                <wp:extent cx="1095375" cy="1095375"/>
                                <wp:effectExtent b="0" l="0" r="0" t="0"/>
                                <wp:docPr id="1" name="Imagen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non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-374649</wp:posOffset>
              </wp:positionH>
              <wp:positionV relativeFrom="paragraph">
                <wp:posOffset>-423544</wp:posOffset>
              </wp:positionV>
              <wp:extent cx="1278890" cy="118681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8890" cy="1186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9">
    <w:pPr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DIRECCIÓN GENERAL DE INCORPORACIÓN Y REVALIDACIÓN DE ESTUDIOS</w:t>
    </w:r>
  </w:p>
  <w:p w:rsidR="00000000" w:rsidDel="00000000" w:rsidP="00000000" w:rsidRDefault="00000000" w:rsidRPr="00000000" w14:paraId="0000009A">
    <w:pPr>
      <w:ind w:left="1985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SUBDIRECCIÓN DE INCORPORACIÓN</w:t>
    </w:r>
  </w:p>
  <w:p w:rsidR="00000000" w:rsidDel="00000000" w:rsidP="00000000" w:rsidRDefault="00000000" w:rsidRPr="00000000" w14:paraId="0000009B">
    <w:pPr>
      <w:ind w:left="1985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COORDINACIÓN DE SUPERVISIÓN ACADÉMICA</w:t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78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1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93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3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1276" w:hanging="36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smallCaps w:val="0"/>
        <w:strike w:val="0"/>
        <w:color w:val="000000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smallCaps w:val="0"/>
        <w:strike w:val="0"/>
        <w:color w:val="000000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smallCaps w:val="0"/>
        <w:strike w:val="0"/>
        <w:color w:val="000000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smallCaps w:val="0"/>
        <w:strike w:val="0"/>
        <w:color w:val="000000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smallCaps w:val="0"/>
        <w:strike w:val="0"/>
        <w:color w:val="000000"/>
        <w:vertAlign w:val="baseline"/>
      </w:rPr>
    </w:lvl>
  </w:abstractNum>
  <w:abstractNum w:abstractNumId="6">
    <w:lvl w:ilvl="0">
      <w:start w:val="1"/>
      <w:numFmt w:val="upp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800" w:hanging="360"/>
      </w:pPr>
      <w:rPr>
        <w:b w:val="1"/>
        <w:i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b w:val="1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lowerLetter"/>
      <w:lvlText w:val="%1)"/>
      <w:lvlJc w:val="left"/>
      <w:pPr>
        <w:ind w:left="1276" w:hanging="360"/>
      </w:pPr>
      <w:rPr>
        <w:b w:val="1"/>
        <w:smallCaps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smallCaps w:val="0"/>
        <w:strike w:val="0"/>
        <w:color w:val="000000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smallCaps w:val="0"/>
        <w:strike w:val="0"/>
        <w:color w:val="000000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smallCaps w:val="0"/>
        <w:strike w:val="0"/>
        <w:color w:val="000000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smallCaps w:val="0"/>
        <w:strike w:val="0"/>
        <w:color w:val="000000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smallCaps w:val="0"/>
        <w:strike w:val="0"/>
        <w:color w:val="000000"/>
        <w:vertAlign w:val="baseline"/>
      </w:rPr>
    </w:lvl>
  </w:abstractNum>
  <w:abstractNum w:abstractNumId="11">
    <w:lvl w:ilvl="0">
      <w:start w:val="1"/>
      <w:numFmt w:val="upperRoman"/>
      <w:lvlText w:val="%1)"/>
      <w:lvlJc w:val="left"/>
      <w:pPr>
        <w:ind w:left="862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13">
    <w:lvl w:ilvl="0">
      <w:start w:val="1"/>
      <w:numFmt w:val="bullet"/>
      <w:lvlText w:val="✔"/>
      <w:lvlJc w:val="left"/>
      <w:pPr>
        <w:ind w:left="17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⮚"/>
      <w:lvlJc w:val="left"/>
      <w:pPr>
        <w:ind w:left="1776" w:hanging="360"/>
      </w:pPr>
      <w:rPr>
        <w:rFonts w:ascii="Noto Sans Symbols" w:cs="Noto Sans Symbols" w:eastAsia="Noto Sans Symbols" w:hAnsi="Noto Sans Symbols"/>
        <w:b w:val="1"/>
        <w:i w:val="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24" w:firstLine="707.9999999999998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tsx.edu.mx/transparencia/I/reglamentos-alumnos/D-AA-04-laboratorio-quimica-usos-multiples.pdf" TargetMode="External"/><Relationship Id="rId10" Type="http://schemas.openxmlformats.org/officeDocument/2006/relationships/hyperlink" Target="http://dgenp.unam.mx/noticias/reglamento-labciencias11abr14.pdf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://laboratorioscchsur.wix.com/departamento-de-laboratorios#!documentos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f.gob.mx/nota_detalle.php?codigo=5240925&amp;fecha=27/03/2012#gsc.tab=0" TargetMode="External"/><Relationship Id="rId8" Type="http://schemas.openxmlformats.org/officeDocument/2006/relationships/hyperlink" Target="http://www.quimica.unam.mx/IMG/pdf/392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